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1EB4" w14:textId="77777777" w:rsidR="00084D79" w:rsidRPr="001262AE" w:rsidRDefault="00084D79" w:rsidP="00084D7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Center’s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Staff recognition and reward policy</w:t>
      </w:r>
    </w:p>
    <w:p w14:paraId="1E1261EF" w14:textId="77777777" w:rsidR="00084D79" w:rsidRDefault="00084D79" w:rsidP="00084D7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4243E0FF" w14:textId="77777777" w:rsidR="00084D79" w:rsidRPr="00B511F0" w:rsidRDefault="00084D79" w:rsidP="00084D79">
      <w:pPr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</w:pPr>
      <w:r w:rsidRPr="00B511F0">
        <w:rPr>
          <w:rFonts w:ascii="Arial" w:hAnsi="Arial" w:cs="Arial"/>
          <w:b/>
          <w:bCs/>
          <w:color w:val="A6A6A6" w:themeColor="background1" w:themeShade="A6"/>
          <w:sz w:val="36"/>
          <w:szCs w:val="36"/>
        </w:rPr>
        <w:t>Staff recognition and reward policy</w:t>
      </w:r>
    </w:p>
    <w:p w14:paraId="411B61F1" w14:textId="77777777" w:rsidR="00084D79" w:rsidRPr="009E59C2" w:rsidRDefault="00084D79" w:rsidP="00084D79">
      <w:pPr>
        <w:spacing w:before="300" w:after="150" w:line="428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9"/>
          <w:szCs w:val="39"/>
          <w:lang w:eastAsia="en-AU"/>
        </w:rPr>
      </w:pPr>
      <w:r w:rsidRPr="009E59C2">
        <w:rPr>
          <w:rFonts w:ascii="&amp;quot" w:eastAsia="Times New Roman" w:hAnsi="&amp;quot" w:cs="Times New Roman"/>
          <w:b/>
          <w:bCs/>
          <w:color w:val="333333"/>
          <w:sz w:val="39"/>
          <w:szCs w:val="39"/>
          <w:lang w:eastAsia="en-AU"/>
        </w:rPr>
        <w:t>1 Purpose</w:t>
      </w:r>
    </w:p>
    <w:p w14:paraId="52892315" w14:textId="77777777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To provide opportunities to recognise and reward Employees for their contribution, commitment, and service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.</w:t>
      </w:r>
    </w:p>
    <w:p w14:paraId="7213AFDF" w14:textId="77777777" w:rsidR="00084D79" w:rsidRPr="009E59C2" w:rsidRDefault="00084D79" w:rsidP="00084D79">
      <w:pPr>
        <w:spacing w:before="300" w:after="150" w:line="428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9"/>
          <w:szCs w:val="39"/>
          <w:lang w:eastAsia="en-AU"/>
        </w:rPr>
      </w:pPr>
      <w:r w:rsidRPr="009E59C2">
        <w:rPr>
          <w:rFonts w:ascii="&amp;quot" w:eastAsia="Times New Roman" w:hAnsi="&amp;quot" w:cs="Times New Roman"/>
          <w:b/>
          <w:bCs/>
          <w:color w:val="333333"/>
          <w:sz w:val="39"/>
          <w:szCs w:val="39"/>
          <w:lang w:eastAsia="en-AU"/>
        </w:rPr>
        <w:t>2 Scope</w:t>
      </w:r>
    </w:p>
    <w:p w14:paraId="784EF6A5" w14:textId="0E7B90A0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EC584B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This procedure applies to all staff the have direct contact with external customers at a minimum of 4 out of 5 days a week.  With preference given to staff who undertake unpaid overtime.</w:t>
      </w:r>
    </w:p>
    <w:p w14:paraId="085902DE" w14:textId="77777777" w:rsidR="00084D79" w:rsidRPr="009E59C2" w:rsidRDefault="00084D79" w:rsidP="00084D79">
      <w:pPr>
        <w:spacing w:before="300" w:after="150" w:line="428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39"/>
          <w:szCs w:val="39"/>
          <w:lang w:eastAsia="en-AU"/>
        </w:rPr>
      </w:pPr>
      <w:r>
        <w:rPr>
          <w:rFonts w:ascii="&amp;quot" w:eastAsia="Times New Roman" w:hAnsi="&amp;quot" w:cs="Times New Roman"/>
          <w:b/>
          <w:bCs/>
          <w:color w:val="333333"/>
          <w:sz w:val="39"/>
          <w:szCs w:val="39"/>
          <w:lang w:eastAsia="en-AU"/>
        </w:rPr>
        <w:t>3</w:t>
      </w:r>
      <w:r w:rsidRPr="009E59C2">
        <w:rPr>
          <w:rFonts w:ascii="&amp;quot" w:eastAsia="Times New Roman" w:hAnsi="&amp;quot" w:cs="Times New Roman"/>
          <w:b/>
          <w:bCs/>
          <w:color w:val="333333"/>
          <w:sz w:val="39"/>
          <w:szCs w:val="39"/>
          <w:lang w:eastAsia="en-AU"/>
        </w:rPr>
        <w:t xml:space="preserve"> Procedures</w:t>
      </w:r>
    </w:p>
    <w:p w14:paraId="59CFB9EA" w14:textId="735BB8E3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bookmarkStart w:id="0" w:name="f1232"/>
      <w:bookmarkEnd w:id="0"/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The Employee Recognition and Reward Program provides mechanisms to recognise and reward Employees for exceptional work performance, service and contribution to the achievement of 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the goals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and strategic priorities.</w:t>
      </w:r>
    </w:p>
    <w:p w14:paraId="111C39DA" w14:textId="77777777" w:rsidR="00084D79" w:rsidRPr="009E59C2" w:rsidRDefault="00084D79" w:rsidP="00084D79">
      <w:pPr>
        <w:spacing w:before="300" w:after="150" w:line="363" w:lineRule="atLeast"/>
        <w:outlineLvl w:val="2"/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</w:pPr>
      <w:r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>3</w:t>
      </w:r>
      <w:r w:rsidRPr="009E59C2"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 xml:space="preserve">.1 </w:t>
      </w:r>
      <w:r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>R</w:t>
      </w:r>
      <w:r w:rsidRPr="009E59C2"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>ecognition</w:t>
      </w:r>
    </w:p>
    <w:p w14:paraId="02E40CA2" w14:textId="77777777" w:rsidR="00084D79" w:rsidRPr="009E59C2" w:rsidRDefault="00084D79" w:rsidP="00084D79">
      <w:pPr>
        <w:spacing w:before="150" w:after="150" w:line="314" w:lineRule="atLeast"/>
        <w:outlineLvl w:val="3"/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en-AU"/>
        </w:rPr>
      </w:pP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en-AU"/>
        </w:rPr>
        <w:t>3</w:t>
      </w:r>
      <w:r w:rsidRPr="009E59C2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en-AU"/>
        </w:rPr>
        <w:t xml:space="preserve">.1.1 </w:t>
      </w: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en-AU"/>
        </w:rPr>
        <w:t xml:space="preserve">Colleague recognition </w:t>
      </w:r>
    </w:p>
    <w:p w14:paraId="01C54B51" w14:textId="77777777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All Employees are encouraged to provide recognition to their colleagues to recognise the positive contributions of others in the workplace. Colleagues can include other Employees, Supervisors, or teams. </w:t>
      </w:r>
    </w:p>
    <w:p w14:paraId="08E71934" w14:textId="77777777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EC584B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In addition, non-monetary recognition program that empowers Employees with a range of options and tools to acknowledge colleagues for their contributions.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</w:t>
      </w:r>
    </w:p>
    <w:p w14:paraId="24BEA1E6" w14:textId="77777777" w:rsidR="00084D79" w:rsidRPr="009E59C2" w:rsidRDefault="00084D79" w:rsidP="00084D79">
      <w:pPr>
        <w:spacing w:before="150" w:after="150" w:line="314" w:lineRule="atLeast"/>
        <w:outlineLvl w:val="3"/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en-AU"/>
        </w:rPr>
      </w:pP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en-AU"/>
        </w:rPr>
        <w:t>3</w:t>
      </w:r>
      <w:r w:rsidRPr="009E59C2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en-AU"/>
        </w:rPr>
        <w:t>.1.2 Work area initiatives</w:t>
      </w:r>
    </w:p>
    <w:p w14:paraId="4055C7BE" w14:textId="075821C0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The </w:t>
      </w:r>
      <w:proofErr w:type="spellStart"/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Center</w:t>
      </w:r>
      <w:proofErr w:type="spellEnd"/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acknowledges that an effective way of recognising Employees can be by way of a 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one-off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non-cash gift, or small incentive of a personal nature, to the value of less than $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22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0 (inclusive of GST) in accordance with relevant taxation legislation.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 Such incentives include gift cards, travel vouchers, dinner vouchers, flowers or similar items.  </w:t>
      </w:r>
    </w:p>
    <w:p w14:paraId="35DCADD3" w14:textId="77777777" w:rsidR="00084D79" w:rsidRPr="009E59C2" w:rsidRDefault="00084D79" w:rsidP="00084D79">
      <w:pPr>
        <w:spacing w:before="300" w:after="150" w:line="363" w:lineRule="atLeast"/>
        <w:outlineLvl w:val="2"/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</w:pPr>
      <w:r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>3</w:t>
      </w:r>
      <w:r w:rsidRPr="009E59C2"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>.</w:t>
      </w:r>
      <w:r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>2</w:t>
      </w:r>
      <w:r w:rsidRPr="009E59C2"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 xml:space="preserve"> Excellence Awards</w:t>
      </w:r>
    </w:p>
    <w:p w14:paraId="6E053D68" w14:textId="16ED26C0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Formal recognition of Employees' contribution, commitment, and service is provided through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an annual Excellence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Awards.</w:t>
      </w:r>
    </w:p>
    <w:p w14:paraId="5A11C31A" w14:textId="283592F5" w:rsidR="00084D79" w:rsidRPr="005319DC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Award winners will be granted use of the “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Excellence Awards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Winners” car parking space for a year, </w:t>
      </w:r>
      <w:r w:rsidRPr="005319DC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a certificate of recognition and a </w:t>
      </w:r>
      <w:r w:rsidRPr="005319DC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one-year</w:t>
      </w:r>
      <w:r w:rsidRPr="005319DC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subscription to Better Homes and Gardens.     </w:t>
      </w:r>
    </w:p>
    <w:p w14:paraId="7676B441" w14:textId="58524337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5319DC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Excellence </w:t>
      </w:r>
      <w:r w:rsidRPr="005319DC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Award recipients</w:t>
      </w:r>
      <w:r w:rsidRPr="005319DC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must be employed in a direct customer service role such as customer service agent, receptionist or similar role.  No other staff will be considered.</w:t>
      </w:r>
    </w:p>
    <w:p w14:paraId="42EE0C76" w14:textId="77777777" w:rsidR="00084D79" w:rsidRPr="00EA12CF" w:rsidRDefault="00084D79" w:rsidP="00084D79">
      <w:pPr>
        <w:spacing w:before="150" w:after="150" w:line="314" w:lineRule="atLeast"/>
        <w:outlineLvl w:val="3"/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</w:pPr>
      <w:r w:rsidRPr="00EA12CF">
        <w:rPr>
          <w:rFonts w:ascii="&amp;quot" w:eastAsia="Times New Roman" w:hAnsi="&amp;quot" w:cs="Times New Roman"/>
          <w:b/>
          <w:bCs/>
          <w:color w:val="333333"/>
          <w:sz w:val="33"/>
          <w:szCs w:val="33"/>
          <w:lang w:eastAsia="en-AU"/>
        </w:rPr>
        <w:t>4.1 Application, assessment and approval process</w:t>
      </w:r>
    </w:p>
    <w:p w14:paraId="4160E59B" w14:textId="77777777" w:rsidR="00084D79" w:rsidRPr="009E59C2" w:rsidRDefault="00084D79" w:rsidP="00084D79">
      <w:pPr>
        <w:spacing w:before="150" w:after="150" w:line="254" w:lineRule="atLeast"/>
        <w:outlineLvl w:val="4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en-AU"/>
        </w:rPr>
      </w:pPr>
      <w:r w:rsidRPr="009E59C2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en-AU"/>
        </w:rPr>
        <w:t>4..1.1 Application</w:t>
      </w:r>
    </w:p>
    <w:p w14:paraId="3D5543E0" w14:textId="77777777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A85DAB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lastRenderedPageBreak/>
        <w:t>Once nominated applicants must apply by addressing the selection criteria in a verbal presentation via a recorded application.  Excellence Awards will be given to the applicants who best meets the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selection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criteria.</w:t>
      </w:r>
    </w:p>
    <w:p w14:paraId="0B19B6AE" w14:textId="77777777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Nominations of eligible Employees must be made on the relevant application form and submitted by the advertised due date. </w:t>
      </w:r>
    </w:p>
    <w:p w14:paraId="7481DD91" w14:textId="77777777" w:rsidR="00084D79" w:rsidRPr="009E59C2" w:rsidRDefault="00084D79" w:rsidP="00084D79">
      <w:pPr>
        <w:spacing w:before="150" w:after="150" w:line="254" w:lineRule="atLeast"/>
        <w:outlineLvl w:val="4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en-AU"/>
        </w:rPr>
      </w:pPr>
      <w:r w:rsidRPr="009E59C2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en-AU"/>
        </w:rPr>
        <w:t>4.1.2 Assessment</w:t>
      </w:r>
    </w:p>
    <w:p w14:paraId="351DF1E5" w14:textId="77777777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All applications will be reviewed by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an </w:t>
      </w: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assessment panel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made up of selected members from the </w:t>
      </w:r>
      <w:r w:rsidRPr="00A85DAB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community, committee, organisation and other stakeholders.  Panel members are always female due to their ability to consider applications without bias.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 </w:t>
      </w:r>
    </w:p>
    <w:p w14:paraId="58D5BF86" w14:textId="77777777" w:rsidR="00084D79" w:rsidRPr="009E59C2" w:rsidRDefault="00084D79" w:rsidP="00084D79">
      <w:pPr>
        <w:spacing w:before="150" w:after="150" w:line="254" w:lineRule="atLeast"/>
        <w:outlineLvl w:val="4"/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en-AU"/>
        </w:rPr>
      </w:pPr>
      <w:r w:rsidRPr="009E59C2">
        <w:rPr>
          <w:rFonts w:ascii="&amp;quot" w:eastAsia="Times New Roman" w:hAnsi="&amp;quot" w:cs="Times New Roman"/>
          <w:b/>
          <w:bCs/>
          <w:color w:val="333333"/>
          <w:sz w:val="23"/>
          <w:szCs w:val="23"/>
          <w:lang w:eastAsia="en-AU"/>
        </w:rPr>
        <w:t>4.1.3 Approval</w:t>
      </w:r>
    </w:p>
    <w:p w14:paraId="1B214FA6" w14:textId="77777777" w:rsidR="00084D79" w:rsidRPr="009E59C2" w:rsidRDefault="00084D79" w:rsidP="00084D79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</w:pPr>
      <w:r w:rsidRPr="009E59C2"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 xml:space="preserve">The panel chair will provide a recommended recipient to the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AU"/>
        </w:rPr>
        <w:t>CEO.</w:t>
      </w:r>
    </w:p>
    <w:p w14:paraId="67F95038" w14:textId="77777777" w:rsidR="00084D79" w:rsidRDefault="00084D79" w:rsidP="00084D79">
      <w:bookmarkStart w:id="1" w:name="_GoBack"/>
      <w:bookmarkEnd w:id="1"/>
    </w:p>
    <w:sectPr w:rsidR="00084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9"/>
    <w:rsid w:val="00084D79"/>
    <w:rsid w:val="00675773"/>
    <w:rsid w:val="008B084E"/>
    <w:rsid w:val="009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DA18"/>
  <w15:chartTrackingRefBased/>
  <w15:docId w15:val="{EAE46B28-6400-4362-BC81-66B04522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</dc:creator>
  <cp:keywords/>
  <dc:description/>
  <cp:lastModifiedBy>Malar</cp:lastModifiedBy>
  <cp:revision>1</cp:revision>
  <dcterms:created xsi:type="dcterms:W3CDTF">2018-08-06T00:55:00Z</dcterms:created>
  <dcterms:modified xsi:type="dcterms:W3CDTF">2018-08-06T00:56:00Z</dcterms:modified>
</cp:coreProperties>
</file>